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0576" w14:textId="072C8061" w:rsidR="00460569" w:rsidRPr="009F24E0" w:rsidRDefault="00931B3A" w:rsidP="009F24E0">
      <w:pPr>
        <w:spacing w:after="0" w:line="264" w:lineRule="auto"/>
        <w:jc w:val="center"/>
        <w:rPr>
          <w:rFonts w:ascii="Sabon Next LT" w:hAnsi="Sabon Next LT" w:cs="Sabon Next LT"/>
          <w:b/>
          <w:bCs/>
        </w:rPr>
      </w:pPr>
      <w:r w:rsidRPr="009F24E0">
        <w:rPr>
          <w:rFonts w:ascii="Sabon Next LT" w:hAnsi="Sabon Next LT" w:cs="Sabon Next LT"/>
          <w:b/>
          <w:bCs/>
        </w:rPr>
        <w:t>INFORMACE PRO OZNAMOVATELE</w:t>
      </w:r>
    </w:p>
    <w:p w14:paraId="7D0FF627" w14:textId="541D6806" w:rsidR="00931B3A" w:rsidRPr="009F24E0" w:rsidRDefault="00931B3A" w:rsidP="009F24E0">
      <w:pPr>
        <w:pBdr>
          <w:bottom w:val="single" w:sz="4" w:space="1" w:color="auto"/>
        </w:pBdr>
        <w:spacing w:after="0" w:line="264" w:lineRule="auto"/>
        <w:jc w:val="center"/>
        <w:rPr>
          <w:rFonts w:ascii="Sabon Next LT" w:hAnsi="Sabon Next LT" w:cs="Sabon Next LT"/>
          <w:b/>
          <w:bCs/>
        </w:rPr>
      </w:pPr>
      <w:r w:rsidRPr="009F24E0">
        <w:rPr>
          <w:rFonts w:ascii="Sabon Next LT" w:hAnsi="Sabon Next LT" w:cs="Sabon Next LT"/>
          <w:b/>
          <w:bCs/>
        </w:rPr>
        <w:t>VNITŘNÍ OZNAMOVACÍ SYSTÉM</w:t>
      </w:r>
    </w:p>
    <w:p w14:paraId="08A23011" w14:textId="77777777" w:rsidR="00931B3A" w:rsidRPr="009F24E0" w:rsidRDefault="00931B3A" w:rsidP="009F24E0">
      <w:pPr>
        <w:spacing w:after="0" w:line="264" w:lineRule="auto"/>
        <w:jc w:val="both"/>
        <w:rPr>
          <w:rFonts w:ascii="Sabon Next LT" w:hAnsi="Sabon Next LT" w:cs="Sabon Next LT"/>
        </w:rPr>
      </w:pPr>
    </w:p>
    <w:p w14:paraId="41E77CC3" w14:textId="13CCFC61" w:rsidR="00931B3A" w:rsidRPr="009F24E0" w:rsidRDefault="009F24E0" w:rsidP="009F24E0">
      <w:pPr>
        <w:spacing w:after="0" w:line="264" w:lineRule="auto"/>
        <w:jc w:val="both"/>
        <w:rPr>
          <w:rFonts w:ascii="Sabon Next LT" w:eastAsia="STXihei" w:hAnsi="Sabon Next LT" w:cs="Sabon Next LT"/>
        </w:rPr>
      </w:pPr>
      <w:bookmarkStart w:id="0" w:name="_Hlk147327777"/>
      <w:r w:rsidRPr="00BB23BF">
        <w:rPr>
          <w:rFonts w:ascii="Sabon Next LT" w:hAnsi="Sabon Next LT" w:cs="Sabon Next LT"/>
        </w:rPr>
        <w:t>UNITES Systems a.s., IČ: 258 63 665, sídlem Valašské Meziříčí, Kpt. Macha 1371, PSČ: 757 01, zaps. v obchodním rejstříku vedeném Krajským soudem v Ostravě pod sp. zn. B 2377</w:t>
      </w:r>
      <w:bookmarkEnd w:id="0"/>
      <w:r w:rsidRPr="009F24E0">
        <w:rPr>
          <w:rFonts w:ascii="Sabon Next LT" w:eastAsia="STXihei" w:hAnsi="Sabon Next LT" w:cs="Sabon Next LT"/>
        </w:rPr>
        <w:t xml:space="preserve"> </w:t>
      </w:r>
      <w:r w:rsidR="00931B3A" w:rsidRPr="009F24E0">
        <w:rPr>
          <w:rFonts w:ascii="Sabon Next LT" w:eastAsia="STXihei" w:hAnsi="Sabon Next LT" w:cs="Sabon Next LT"/>
        </w:rPr>
        <w:t xml:space="preserve">(dále jen </w:t>
      </w:r>
      <w:r w:rsidR="00931B3A" w:rsidRPr="009F24E0">
        <w:rPr>
          <w:rFonts w:ascii="Sabon Next LT" w:eastAsia="STXihei" w:hAnsi="Sabon Next LT" w:cs="Sabon Next LT"/>
          <w:b/>
          <w:bCs/>
        </w:rPr>
        <w:t>„společnost“</w:t>
      </w:r>
      <w:r w:rsidR="00931B3A" w:rsidRPr="009F24E0">
        <w:rPr>
          <w:rFonts w:ascii="Sabon Next LT" w:eastAsia="STXihei" w:hAnsi="Sabon Next LT" w:cs="Sabon Next LT"/>
        </w:rPr>
        <w:t>), tímto informuje v návaznosti na zákon č. 171/2023 Sb., o ochraně oznamovatelů</w:t>
      </w:r>
      <w:r>
        <w:rPr>
          <w:rFonts w:ascii="Sabon Next LT" w:eastAsia="STXihei" w:hAnsi="Sabon Next LT" w:cs="Sabon Next LT"/>
        </w:rPr>
        <w:t xml:space="preserve"> </w:t>
      </w:r>
      <w:r w:rsidR="00931B3A" w:rsidRPr="009F24E0">
        <w:rPr>
          <w:rFonts w:ascii="Sabon Next LT" w:eastAsia="STXihei" w:hAnsi="Sabon Next LT" w:cs="Sabon Next LT"/>
        </w:rPr>
        <w:t xml:space="preserve">(dále jen </w:t>
      </w:r>
      <w:r w:rsidR="00931B3A" w:rsidRPr="009F24E0">
        <w:rPr>
          <w:rFonts w:ascii="Sabon Next LT" w:eastAsia="STXihei" w:hAnsi="Sabon Next LT" w:cs="Sabon Next LT"/>
          <w:b/>
          <w:bCs/>
        </w:rPr>
        <w:t>„zákon“</w:t>
      </w:r>
      <w:r w:rsidR="00931B3A" w:rsidRPr="009F24E0">
        <w:rPr>
          <w:rFonts w:ascii="Sabon Next LT" w:eastAsia="STXihei" w:hAnsi="Sabon Next LT" w:cs="Sabon Next LT"/>
        </w:rPr>
        <w:t>), že zavedla vnitřní oznamovací systém pro podání oznámení o možném protiprávním jednání.</w:t>
      </w:r>
    </w:p>
    <w:p w14:paraId="38B0F33E" w14:textId="77777777" w:rsidR="00ED2AEA" w:rsidRPr="009F24E0" w:rsidRDefault="00ED2AEA" w:rsidP="009F24E0">
      <w:pPr>
        <w:spacing w:after="0" w:line="264" w:lineRule="auto"/>
        <w:jc w:val="center"/>
        <w:rPr>
          <w:rFonts w:ascii="Sabon Next LT" w:hAnsi="Sabon Next LT" w:cs="Sabon Next LT"/>
        </w:rPr>
      </w:pPr>
    </w:p>
    <w:p w14:paraId="6589BC1C" w14:textId="1BFC4A09" w:rsidR="00931B3A" w:rsidRPr="009F24E0" w:rsidRDefault="00931B3A" w:rsidP="009F24E0">
      <w:pPr>
        <w:spacing w:after="0" w:line="264" w:lineRule="auto"/>
        <w:rPr>
          <w:rFonts w:ascii="Sabon Next LT" w:hAnsi="Sabon Next LT" w:cs="Sabon Next LT"/>
          <w:b/>
          <w:bCs/>
        </w:rPr>
      </w:pPr>
      <w:r w:rsidRPr="009F24E0">
        <w:rPr>
          <w:rFonts w:ascii="Sabon Next LT" w:hAnsi="Sabon Next LT" w:cs="Sabon Next LT"/>
          <w:b/>
          <w:bCs/>
        </w:rPr>
        <w:t>Vnitřní oznamovací systém</w:t>
      </w:r>
    </w:p>
    <w:p w14:paraId="28BEDBB8" w14:textId="587F884B" w:rsidR="00C464CA" w:rsidRPr="009F24E0" w:rsidRDefault="00931B3A" w:rsidP="009F24E0">
      <w:pPr>
        <w:spacing w:after="0" w:line="264" w:lineRule="auto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 xml:space="preserve">Společnost má zřízený vnitřní oznamovací systém pro účely podávání oznámení o protiprávním jednáním ze strany oznamovatelů. </w:t>
      </w:r>
      <w:r w:rsidR="00C464CA" w:rsidRPr="009F24E0">
        <w:rPr>
          <w:rFonts w:ascii="Sabon Next LT" w:hAnsi="Sabon Next LT" w:cs="Sabon Next LT"/>
        </w:rPr>
        <w:t>Vnitřní oznamovací systém je určen po podávání oznámení o protiprávním jednání, kterými se rozumí jednání blíže uvedená v bodu 1.</w:t>
      </w:r>
    </w:p>
    <w:p w14:paraId="20DE4B03" w14:textId="77777777" w:rsidR="00C464CA" w:rsidRPr="009F24E0" w:rsidRDefault="00C464CA" w:rsidP="009F24E0">
      <w:pPr>
        <w:spacing w:after="0" w:line="264" w:lineRule="auto"/>
        <w:jc w:val="both"/>
        <w:rPr>
          <w:rFonts w:ascii="Sabon Next LT" w:hAnsi="Sabon Next LT" w:cs="Sabon Next LT"/>
        </w:rPr>
      </w:pPr>
    </w:p>
    <w:p w14:paraId="61BF64E7" w14:textId="55DA4C9A" w:rsidR="00C464CA" w:rsidRPr="009F24E0" w:rsidRDefault="00C464CA" w:rsidP="009F24E0">
      <w:pPr>
        <w:pStyle w:val="Odstavecseseznamem"/>
        <w:numPr>
          <w:ilvl w:val="0"/>
          <w:numId w:val="9"/>
        </w:numPr>
        <w:spacing w:after="0" w:line="264" w:lineRule="auto"/>
        <w:ind w:left="567" w:hanging="567"/>
        <w:jc w:val="both"/>
        <w:rPr>
          <w:rFonts w:ascii="Sabon Next LT" w:hAnsi="Sabon Next LT" w:cs="Sabon Next LT"/>
          <w:b/>
          <w:bCs/>
        </w:rPr>
      </w:pPr>
      <w:r w:rsidRPr="009F24E0">
        <w:rPr>
          <w:rFonts w:ascii="Sabon Next LT" w:hAnsi="Sabon Next LT" w:cs="Sabon Next LT"/>
          <w:b/>
          <w:bCs/>
        </w:rPr>
        <w:t>Protiprávní jednání</w:t>
      </w:r>
    </w:p>
    <w:p w14:paraId="30A992EC" w14:textId="2556EE45" w:rsidR="00C464CA" w:rsidRDefault="00C464CA" w:rsidP="009F24E0">
      <w:pPr>
        <w:pStyle w:val="Odstavecseseznamem"/>
        <w:numPr>
          <w:ilvl w:val="0"/>
          <w:numId w:val="13"/>
        </w:numPr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má znaky trestného činu,</w:t>
      </w:r>
    </w:p>
    <w:p w14:paraId="747634FC" w14:textId="026F45DD" w:rsidR="00C464CA" w:rsidRDefault="00C464CA" w:rsidP="009F24E0">
      <w:pPr>
        <w:pStyle w:val="Odstavecseseznamem"/>
        <w:numPr>
          <w:ilvl w:val="0"/>
          <w:numId w:val="13"/>
        </w:numPr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má znaky přestupku, za který zákon stanoví sazbu pokuty, jejíž horní hranice je alespoň 100</w:t>
      </w:r>
      <w:r w:rsidR="00ED2AEA" w:rsidRPr="009F24E0">
        <w:rPr>
          <w:rFonts w:ascii="Sabon Next LT" w:hAnsi="Sabon Next LT" w:cs="Sabon Next LT"/>
        </w:rPr>
        <w:t xml:space="preserve">tis. </w:t>
      </w:r>
      <w:r w:rsidRPr="009F24E0">
        <w:rPr>
          <w:rFonts w:ascii="Sabon Next LT" w:hAnsi="Sabon Next LT" w:cs="Sabon Next LT"/>
        </w:rPr>
        <w:t>Kč,</w:t>
      </w:r>
    </w:p>
    <w:p w14:paraId="75DB8BCC" w14:textId="349FB06C" w:rsidR="00C464CA" w:rsidRPr="009F24E0" w:rsidRDefault="00C464CA" w:rsidP="009F24E0">
      <w:pPr>
        <w:pStyle w:val="Odstavecseseznamem"/>
        <w:numPr>
          <w:ilvl w:val="0"/>
          <w:numId w:val="13"/>
        </w:numPr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porušuje zákon, nebo</w:t>
      </w:r>
    </w:p>
    <w:p w14:paraId="028F12D0" w14:textId="75D57FB8" w:rsidR="00C464CA" w:rsidRPr="009F24E0" w:rsidRDefault="009F24E0" w:rsidP="009F24E0">
      <w:pPr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(d)</w:t>
      </w:r>
      <w:r>
        <w:rPr>
          <w:rFonts w:ascii="Sabon Next LT" w:hAnsi="Sabon Next LT" w:cs="Sabon Next LT"/>
        </w:rPr>
        <w:tab/>
      </w:r>
      <w:r w:rsidR="00C464CA" w:rsidRPr="009F24E0">
        <w:rPr>
          <w:rFonts w:ascii="Sabon Next LT" w:hAnsi="Sabon Next LT" w:cs="Sabon Next LT"/>
        </w:rPr>
        <w:t>porušuje jiný právní předpis nebo předpis Evropské unie v oblasti</w:t>
      </w:r>
    </w:p>
    <w:p w14:paraId="6D571978" w14:textId="77777777" w:rsidR="00ED2AE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 xml:space="preserve">finančních služeb, povinného auditu a jiných ověřovacích služeb, finančních produktů a </w:t>
      </w:r>
    </w:p>
    <w:p w14:paraId="45D17939" w14:textId="4178FF90" w:rsidR="00C464CA" w:rsidRPr="009F24E0" w:rsidRDefault="00C464CA" w:rsidP="009F24E0">
      <w:pPr>
        <w:spacing w:after="0" w:line="264" w:lineRule="auto"/>
        <w:ind w:firstLine="708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finančních trhů,</w:t>
      </w:r>
    </w:p>
    <w:p w14:paraId="10245A60" w14:textId="5B5EA7A6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daně z příjmů právnických osob,</w:t>
      </w:r>
    </w:p>
    <w:p w14:paraId="5DABD71C" w14:textId="0308D5F6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předcházení legalizaci výnosů z trestné činnosti a financování terorismu,</w:t>
      </w:r>
    </w:p>
    <w:p w14:paraId="24683CE4" w14:textId="23C18133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ochrany spotřebitele,</w:t>
      </w:r>
    </w:p>
    <w:p w14:paraId="4DF4C9FF" w14:textId="0D22C42A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souladu s požadavky na výrobky včetně jejich bezpečnosti,</w:t>
      </w:r>
    </w:p>
    <w:p w14:paraId="42F62D4E" w14:textId="557AE886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bezpečnosti dopravy, přepravy a provozu na pozemních komunikacích,</w:t>
      </w:r>
    </w:p>
    <w:p w14:paraId="7934D1DD" w14:textId="616144F7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ochrany životního prostředí,</w:t>
      </w:r>
    </w:p>
    <w:p w14:paraId="7A6404E4" w14:textId="7F6C335A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bezpečnosti potravin a krmiv a ochrany zvířat a jejich zdraví,</w:t>
      </w:r>
    </w:p>
    <w:p w14:paraId="6A1C9789" w14:textId="718BAF50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radiační ochrany a jaderné bezpečnosti,</w:t>
      </w:r>
    </w:p>
    <w:p w14:paraId="65EE5495" w14:textId="48F6021E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hospodářské soutěže, veřejných dražeb a zadávání veřejných zakázek,</w:t>
      </w:r>
    </w:p>
    <w:p w14:paraId="032FD4F7" w14:textId="15DEA57D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ochrany vnitřního pořádku a bezpečnosti, života a zdraví,</w:t>
      </w:r>
    </w:p>
    <w:p w14:paraId="5D09AC5E" w14:textId="2DD6FEF9" w:rsidR="00C464CA" w:rsidRPr="009F24E0" w:rsidRDefault="00C464CA" w:rsidP="009F24E0">
      <w:pPr>
        <w:spacing w:after="0" w:line="264" w:lineRule="auto"/>
        <w:ind w:left="705" w:hanging="345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ochrany osobních údajů, soukromí a bezpečnosti sítí elektronických komunikací a informačních systémů,</w:t>
      </w:r>
    </w:p>
    <w:p w14:paraId="57268B89" w14:textId="62232802" w:rsidR="00C464CA" w:rsidRPr="009F24E0" w:rsidRDefault="00C464CA" w:rsidP="009F24E0">
      <w:pPr>
        <w:spacing w:after="0" w:line="264" w:lineRule="auto"/>
        <w:ind w:firstLine="36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ochrany finančních zájmů Evropské unie, nebo</w:t>
      </w:r>
    </w:p>
    <w:p w14:paraId="09EC1087" w14:textId="3D3C9C03" w:rsidR="00931B3A" w:rsidRPr="009F24E0" w:rsidRDefault="00C464CA" w:rsidP="009F24E0">
      <w:pPr>
        <w:spacing w:after="0" w:line="264" w:lineRule="auto"/>
        <w:ind w:left="705" w:hanging="345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-</w:t>
      </w:r>
      <w:r w:rsidRPr="009F24E0">
        <w:rPr>
          <w:rFonts w:ascii="Sabon Next LT" w:hAnsi="Sabon Next LT" w:cs="Sabon Next LT"/>
        </w:rPr>
        <w:tab/>
        <w:t>fungování vnitřního trhu včetně ochrany hospodářské soutěže a státní podpory podle práva Evropské unie.</w:t>
      </w:r>
    </w:p>
    <w:p w14:paraId="7B4EB079" w14:textId="7D95DB68" w:rsidR="00ED2AEA" w:rsidRDefault="00ED2AEA" w:rsidP="009F24E0">
      <w:pPr>
        <w:spacing w:after="0" w:line="264" w:lineRule="auto"/>
        <w:jc w:val="both"/>
        <w:rPr>
          <w:rFonts w:ascii="Sabon Next LT" w:hAnsi="Sabon Next LT" w:cs="Sabon Next LT"/>
        </w:rPr>
      </w:pPr>
    </w:p>
    <w:p w14:paraId="790F23C8" w14:textId="54DCAB5D" w:rsidR="009A265D" w:rsidRDefault="009A265D" w:rsidP="009F24E0">
      <w:pPr>
        <w:spacing w:after="0" w:line="264" w:lineRule="auto"/>
        <w:jc w:val="both"/>
        <w:rPr>
          <w:rFonts w:ascii="Sabon Next LT" w:hAnsi="Sabon Next LT" w:cs="Sabon Next LT"/>
        </w:rPr>
      </w:pPr>
    </w:p>
    <w:p w14:paraId="30A6E46E" w14:textId="77777777" w:rsidR="009A265D" w:rsidRPr="009F24E0" w:rsidRDefault="009A265D" w:rsidP="009F24E0">
      <w:pPr>
        <w:spacing w:after="0" w:line="264" w:lineRule="auto"/>
        <w:jc w:val="both"/>
        <w:rPr>
          <w:rFonts w:ascii="Sabon Next LT" w:hAnsi="Sabon Next LT" w:cs="Sabon Next LT"/>
        </w:rPr>
      </w:pPr>
    </w:p>
    <w:p w14:paraId="5DF52A92" w14:textId="0A6B5E20" w:rsidR="00931B3A" w:rsidRPr="009F24E0" w:rsidRDefault="00C464CA" w:rsidP="009F24E0">
      <w:pPr>
        <w:spacing w:after="0" w:line="264" w:lineRule="auto"/>
        <w:jc w:val="both"/>
        <w:rPr>
          <w:rFonts w:ascii="Sabon Next LT" w:hAnsi="Sabon Next LT" w:cs="Sabon Next LT"/>
          <w:b/>
          <w:bCs/>
        </w:rPr>
      </w:pPr>
      <w:r w:rsidRPr="009F24E0">
        <w:rPr>
          <w:rFonts w:ascii="Sabon Next LT" w:hAnsi="Sabon Next LT" w:cs="Sabon Next LT"/>
          <w:b/>
          <w:bCs/>
        </w:rPr>
        <w:lastRenderedPageBreak/>
        <w:t>2.</w:t>
      </w:r>
      <w:r w:rsidRPr="009F24E0">
        <w:rPr>
          <w:rFonts w:ascii="Sabon Next LT" w:hAnsi="Sabon Next LT" w:cs="Sabon Next LT"/>
          <w:b/>
          <w:bCs/>
        </w:rPr>
        <w:tab/>
        <w:t>Oznamovatel</w:t>
      </w:r>
    </w:p>
    <w:p w14:paraId="20430DBD" w14:textId="203D551F" w:rsidR="00C464CA" w:rsidRPr="009F24E0" w:rsidRDefault="00C464CA" w:rsidP="009F24E0">
      <w:pPr>
        <w:pStyle w:val="article-intro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>Oznamovatelem, který může využít vnitřní oznamovací systém pro podání oznámení, je fyzická osoba, která pro společnost, byť zprostředkovaně, vykonávala nebo vykonává práci</w:t>
      </w:r>
      <w:r w:rsidR="00B2122A" w:rsidRPr="009F24E0">
        <w:rPr>
          <w:rFonts w:ascii="Sabon Next LT" w:hAnsi="Sabon Next LT" w:cs="Sabon Next LT"/>
          <w:sz w:val="22"/>
          <w:szCs w:val="22"/>
        </w:rPr>
        <w:t xml:space="preserve"> (tj. je nebo byla k naší společnosti v pracovněprávním vztahu), vykonávala nebo vykonává u společnosti odbornou praxi, stáž nebo dobrovolnickou činnosti</w:t>
      </w:r>
      <w:r w:rsidRPr="009F24E0">
        <w:rPr>
          <w:rFonts w:ascii="Sabon Next LT" w:hAnsi="Sabon Next LT" w:cs="Sabon Next LT"/>
          <w:sz w:val="22"/>
          <w:szCs w:val="22"/>
        </w:rPr>
        <w:t>, nebo</w:t>
      </w:r>
      <w:r w:rsidR="00B2122A" w:rsidRPr="009F24E0">
        <w:rPr>
          <w:rFonts w:ascii="Sabon Next LT" w:hAnsi="Sabon Next LT" w:cs="Sabon Next LT"/>
          <w:sz w:val="22"/>
          <w:szCs w:val="22"/>
        </w:rPr>
        <w:t xml:space="preserve"> plnila pracovní úkoly</w:t>
      </w:r>
      <w:r w:rsidRPr="009F24E0">
        <w:rPr>
          <w:rFonts w:ascii="Sabon Next LT" w:hAnsi="Sabon Next LT" w:cs="Sabon Next LT"/>
          <w:sz w:val="22"/>
          <w:szCs w:val="22"/>
        </w:rPr>
        <w:t xml:space="preserve"> u osoby, se kterou byl nebo je oznamovatel v kontaktu v souvislosti výkonem práce pro společnost. Oznamovatel může být taktéž osoba vykonávající funkci v orgánech společnosti</w:t>
      </w:r>
      <w:r w:rsidR="00E53168" w:rsidRPr="009F24E0">
        <w:rPr>
          <w:rFonts w:ascii="Sabon Next LT" w:hAnsi="Sabon Next LT" w:cs="Sabon Next LT"/>
          <w:sz w:val="22"/>
          <w:szCs w:val="22"/>
        </w:rPr>
        <w:t xml:space="preserve"> nebo osoba vykonávající práva spojená s účastí ve společnosti</w:t>
      </w:r>
      <w:r w:rsidRPr="009F24E0">
        <w:rPr>
          <w:rFonts w:ascii="Sabon Next LT" w:hAnsi="Sabon Next LT" w:cs="Sabon Next LT"/>
          <w:sz w:val="22"/>
          <w:szCs w:val="22"/>
        </w:rPr>
        <w:t xml:space="preserve">.  </w:t>
      </w:r>
    </w:p>
    <w:p w14:paraId="4F3C6682" w14:textId="77777777" w:rsidR="00B2122A" w:rsidRPr="009F24E0" w:rsidRDefault="00B2122A" w:rsidP="009F24E0">
      <w:pPr>
        <w:pStyle w:val="article-intro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2DACEC3E" w14:textId="6EF5E7E0" w:rsidR="00B2122A" w:rsidRPr="009F24E0" w:rsidRDefault="00B2122A" w:rsidP="009F24E0">
      <w:pPr>
        <w:pStyle w:val="article-intro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ind w:hanging="720"/>
        <w:jc w:val="both"/>
        <w:rPr>
          <w:rFonts w:ascii="Sabon Next LT" w:hAnsi="Sabon Next LT" w:cs="Sabon Next LT"/>
          <w:b/>
          <w:bCs/>
          <w:sz w:val="22"/>
          <w:szCs w:val="22"/>
        </w:rPr>
      </w:pPr>
      <w:r w:rsidRPr="009F24E0">
        <w:rPr>
          <w:rFonts w:ascii="Sabon Next LT" w:hAnsi="Sabon Next LT" w:cs="Sabon Next LT"/>
          <w:b/>
          <w:bCs/>
          <w:sz w:val="22"/>
          <w:szCs w:val="22"/>
        </w:rPr>
        <w:t>Vyloučení z oznámení</w:t>
      </w:r>
    </w:p>
    <w:p w14:paraId="4D8E440A" w14:textId="5D34C7D6" w:rsidR="00B2122A" w:rsidRPr="009F24E0" w:rsidRDefault="00B2122A" w:rsidP="009F24E0">
      <w:pPr>
        <w:pStyle w:val="article-intro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>Společnost vylučuje přijímání oznámení od osob vykonávajících pro společnost obdobnou činnost, tj. od osob, které vykonávaly nebo vykonávají činnost pro společnost jako osoby samostatně výdělečně činné, související s</w:t>
      </w:r>
      <w:r w:rsidR="00E53168" w:rsidRPr="009F24E0">
        <w:rPr>
          <w:rFonts w:ascii="Sabon Next LT" w:hAnsi="Sabon Next LT" w:cs="Sabon Next LT"/>
          <w:sz w:val="22"/>
          <w:szCs w:val="22"/>
        </w:rPr>
        <w:t>e</w:t>
      </w:r>
      <w:r w:rsidRPr="009F24E0">
        <w:rPr>
          <w:rFonts w:ascii="Sabon Next LT" w:hAnsi="Sabon Next LT" w:cs="Sabon Next LT"/>
          <w:sz w:val="22"/>
          <w:szCs w:val="22"/>
        </w:rPr>
        <w:t> správou svěřeneckého fondu anebo vykonávaly</w:t>
      </w:r>
      <w:r w:rsidR="00E53168" w:rsidRPr="009F24E0">
        <w:rPr>
          <w:rFonts w:ascii="Sabon Next LT" w:hAnsi="Sabon Next LT" w:cs="Sabon Next LT"/>
          <w:sz w:val="22"/>
          <w:szCs w:val="22"/>
        </w:rPr>
        <w:t xml:space="preserve"> nebo vykonávají</w:t>
      </w:r>
      <w:r w:rsidRPr="009F24E0">
        <w:rPr>
          <w:rFonts w:ascii="Sabon Next LT" w:hAnsi="Sabon Next LT" w:cs="Sabon Next LT"/>
          <w:sz w:val="22"/>
          <w:szCs w:val="22"/>
        </w:rPr>
        <w:t xml:space="preserve"> práva a povinnosti vyplývající ze smlouvy, jejímž předmětem je poskytování dodávek, služeb, stavebních prací nebo jiného obdobného plnění. </w:t>
      </w:r>
    </w:p>
    <w:p w14:paraId="0B12D0A5" w14:textId="77777777" w:rsidR="00B2122A" w:rsidRPr="009F24E0" w:rsidRDefault="00B2122A" w:rsidP="009F24E0">
      <w:pPr>
        <w:pStyle w:val="article-intro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4D244D6E" w14:textId="40536F4B" w:rsidR="00B2122A" w:rsidRPr="009F24E0" w:rsidRDefault="00B2122A" w:rsidP="009F24E0">
      <w:pPr>
        <w:pStyle w:val="article-intro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ind w:hanging="720"/>
        <w:jc w:val="both"/>
        <w:rPr>
          <w:rFonts w:ascii="Sabon Next LT" w:hAnsi="Sabon Next LT" w:cs="Sabon Next LT"/>
          <w:b/>
          <w:bCs/>
          <w:sz w:val="22"/>
          <w:szCs w:val="22"/>
        </w:rPr>
      </w:pPr>
      <w:r w:rsidRPr="009F24E0">
        <w:rPr>
          <w:rFonts w:ascii="Sabon Next LT" w:hAnsi="Sabon Next LT" w:cs="Sabon Next LT"/>
          <w:b/>
          <w:bCs/>
          <w:sz w:val="22"/>
          <w:szCs w:val="22"/>
        </w:rPr>
        <w:t>Způsob podávání oznámení</w:t>
      </w:r>
    </w:p>
    <w:p w14:paraId="71B7DF71" w14:textId="6A4BD7BD" w:rsidR="00B2122A" w:rsidRPr="009F24E0" w:rsidRDefault="00B2122A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 xml:space="preserve">Podat oznámení prostřednictvím našeho vnitřního oznamovacího systému je možné </w:t>
      </w:r>
      <w:r w:rsidR="00B50262" w:rsidRPr="009F24E0">
        <w:rPr>
          <w:rFonts w:ascii="Sabon Next LT" w:hAnsi="Sabon Next LT" w:cs="Sabon Next LT"/>
          <w:sz w:val="22"/>
          <w:szCs w:val="22"/>
        </w:rPr>
        <w:t>u</w:t>
      </w:r>
      <w:r w:rsidRPr="009F24E0">
        <w:rPr>
          <w:rFonts w:ascii="Sabon Next LT" w:hAnsi="Sabon Next LT" w:cs="Sabon Next LT"/>
          <w:sz w:val="22"/>
          <w:szCs w:val="22"/>
        </w:rPr>
        <w:t xml:space="preserve"> příslušné osob</w:t>
      </w:r>
      <w:r w:rsidR="00B50262" w:rsidRPr="009F24E0">
        <w:rPr>
          <w:rFonts w:ascii="Sabon Next LT" w:hAnsi="Sabon Next LT" w:cs="Sabon Next LT"/>
          <w:sz w:val="22"/>
          <w:szCs w:val="22"/>
        </w:rPr>
        <w:t>y,</w:t>
      </w:r>
      <w:r w:rsidRPr="009F24E0">
        <w:rPr>
          <w:rFonts w:ascii="Sabon Next LT" w:hAnsi="Sabon Next LT" w:cs="Sabon Next LT"/>
          <w:sz w:val="22"/>
          <w:szCs w:val="22"/>
        </w:rPr>
        <w:t xml:space="preserve"> kterou je</w:t>
      </w:r>
      <w:r w:rsidR="00B50262" w:rsidRPr="009F24E0">
        <w:rPr>
          <w:rFonts w:ascii="Sabon Next LT" w:hAnsi="Sabon Next LT" w:cs="Sabon Next LT"/>
          <w:sz w:val="22"/>
          <w:szCs w:val="22"/>
        </w:rPr>
        <w:t xml:space="preserve"> pan</w:t>
      </w:r>
      <w:r w:rsidR="006C61A2">
        <w:rPr>
          <w:rFonts w:ascii="Sabon Next LT" w:hAnsi="Sabon Next LT" w:cs="Sabon Next LT"/>
          <w:sz w:val="22"/>
          <w:szCs w:val="22"/>
        </w:rPr>
        <w:t xml:space="preserve"> Ing. Alan Holiš</w:t>
      </w:r>
      <w:r w:rsidR="00B50262" w:rsidRPr="009F24E0">
        <w:rPr>
          <w:rFonts w:ascii="Sabon Next LT" w:hAnsi="Sabon Next LT" w:cs="Sabon Next LT"/>
          <w:sz w:val="22"/>
          <w:szCs w:val="22"/>
        </w:rPr>
        <w:t xml:space="preserve">, </w:t>
      </w:r>
      <w:r w:rsidRPr="009F24E0">
        <w:rPr>
          <w:rFonts w:ascii="Sabon Next LT" w:hAnsi="Sabon Next LT" w:cs="Sabon Next LT"/>
          <w:sz w:val="22"/>
          <w:szCs w:val="22"/>
        </w:rPr>
        <w:t>a to:</w:t>
      </w:r>
    </w:p>
    <w:p w14:paraId="233C4AC8" w14:textId="77777777" w:rsidR="00B2122A" w:rsidRPr="009F24E0" w:rsidRDefault="00B2122A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6AFE99C4" w14:textId="5B0483D0" w:rsidR="00FE2CF1" w:rsidRPr="005600E8" w:rsidRDefault="00FE2CF1" w:rsidP="009F24E0">
      <w:pPr>
        <w:pStyle w:val="Odstavecseseznamem"/>
        <w:numPr>
          <w:ilvl w:val="1"/>
          <w:numId w:val="11"/>
        </w:numPr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r w:rsidRPr="005600E8">
        <w:rPr>
          <w:rFonts w:ascii="Sabon Next LT" w:hAnsi="Sabon Next LT" w:cs="Sabon Next LT"/>
        </w:rPr>
        <w:t xml:space="preserve">Telefonicky na tel.: </w:t>
      </w:r>
      <w:r w:rsidR="00863278" w:rsidRPr="005600E8">
        <w:rPr>
          <w:rFonts w:ascii="Sabon Next LT" w:hAnsi="Sabon Next LT" w:cs="Sabon Next LT"/>
        </w:rPr>
        <w:t xml:space="preserve">+420 </w:t>
      </w:r>
      <w:r w:rsidR="00852EFE" w:rsidRPr="005600E8">
        <w:rPr>
          <w:rFonts w:ascii="Sabon Next LT" w:hAnsi="Sabon Next LT" w:cs="Sabon Next LT"/>
        </w:rPr>
        <w:t>603 825 247</w:t>
      </w:r>
    </w:p>
    <w:p w14:paraId="445DE711" w14:textId="06E41CDF" w:rsidR="00FE2CF1" w:rsidRPr="005600E8" w:rsidRDefault="00FE2CF1" w:rsidP="009F24E0">
      <w:pPr>
        <w:pStyle w:val="Odstavecseseznamem"/>
        <w:numPr>
          <w:ilvl w:val="1"/>
          <w:numId w:val="11"/>
        </w:numPr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r w:rsidRPr="005600E8">
        <w:rPr>
          <w:rFonts w:ascii="Sabon Next LT" w:hAnsi="Sabon Next LT" w:cs="Sabon Next LT"/>
        </w:rPr>
        <w:t xml:space="preserve">Prostřednictvím E-mailu: </w:t>
      </w:r>
      <w:hyperlink r:id="rId7" w:history="1">
        <w:r w:rsidR="00E03E82" w:rsidRPr="005600E8">
          <w:rPr>
            <w:rStyle w:val="Hypertextovodkaz"/>
            <w:rFonts w:ascii="Sabon Next LT" w:hAnsi="Sabon Next LT" w:cs="Sabon Next LT"/>
          </w:rPr>
          <w:t>whistleblowing@unites.cz</w:t>
        </w:r>
      </w:hyperlink>
      <w:r w:rsidRPr="005600E8">
        <w:rPr>
          <w:rFonts w:ascii="Sabon Next LT" w:hAnsi="Sabon Next LT" w:cs="Sabon Next LT"/>
        </w:rPr>
        <w:t>, který byl zřízen výhradně k přijímání oznámení;</w:t>
      </w:r>
    </w:p>
    <w:p w14:paraId="310D1B22" w14:textId="0C4F95F6" w:rsidR="00B50262" w:rsidRPr="005600E8" w:rsidRDefault="00FE2CF1" w:rsidP="009F24E0">
      <w:pPr>
        <w:pStyle w:val="Odstavecseseznamem"/>
        <w:numPr>
          <w:ilvl w:val="1"/>
          <w:numId w:val="11"/>
        </w:numPr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r w:rsidRPr="005600E8">
        <w:rPr>
          <w:rFonts w:ascii="Sabon Next LT" w:hAnsi="Sabon Next LT" w:cs="Sabon Next LT"/>
        </w:rPr>
        <w:t xml:space="preserve">Písemně na adresu společnosti: </w:t>
      </w:r>
      <w:r w:rsidR="00B50262" w:rsidRPr="005600E8">
        <w:rPr>
          <w:rFonts w:ascii="Sabon Next LT" w:hAnsi="Sabon Next LT" w:cs="Sabon Next LT"/>
        </w:rPr>
        <w:tab/>
      </w:r>
      <w:r w:rsidR="009F24E0" w:rsidRPr="005600E8">
        <w:rPr>
          <w:rFonts w:ascii="Sabon Next LT" w:hAnsi="Sabon Next LT" w:cs="Sabon Next LT"/>
        </w:rPr>
        <w:t xml:space="preserve">UNITES Systems a.s. </w:t>
      </w:r>
    </w:p>
    <w:p w14:paraId="623C48D5" w14:textId="2FF3144D" w:rsidR="003A7BFD" w:rsidRPr="005600E8" w:rsidRDefault="009F24E0" w:rsidP="009F24E0">
      <w:pPr>
        <w:spacing w:after="0" w:line="264" w:lineRule="auto"/>
        <w:ind w:left="2832" w:firstLine="708"/>
        <w:jc w:val="both"/>
        <w:rPr>
          <w:rFonts w:ascii="Sabon Next LT" w:hAnsi="Sabon Next LT" w:cs="Sabon Next LT"/>
        </w:rPr>
      </w:pPr>
      <w:r w:rsidRPr="005600E8">
        <w:rPr>
          <w:rFonts w:ascii="Sabon Next LT" w:hAnsi="Sabon Next LT" w:cs="Sabon Next LT"/>
        </w:rPr>
        <w:t xml:space="preserve">Valašské Meziříčí, Kpt. Macha 1371, PSČ: 757 01 </w:t>
      </w:r>
    </w:p>
    <w:p w14:paraId="07E2E76F" w14:textId="1D09D73D" w:rsidR="00FE2CF1" w:rsidRPr="005600E8" w:rsidRDefault="00FE2CF1" w:rsidP="009F24E0">
      <w:pPr>
        <w:pStyle w:val="Odstavecseseznamem"/>
        <w:spacing w:after="0" w:line="264" w:lineRule="auto"/>
        <w:ind w:left="426"/>
        <w:jc w:val="both"/>
        <w:rPr>
          <w:rFonts w:ascii="Sabon Next LT" w:hAnsi="Sabon Next LT" w:cs="Sabon Next LT"/>
        </w:rPr>
      </w:pPr>
      <w:r w:rsidRPr="005600E8">
        <w:rPr>
          <w:rFonts w:ascii="Sabon Next LT" w:hAnsi="Sabon Next LT" w:cs="Sabon Next LT"/>
        </w:rPr>
        <w:t xml:space="preserve">Zásilku je nutné viditelně označit – </w:t>
      </w:r>
      <w:r w:rsidRPr="005600E8">
        <w:rPr>
          <w:rFonts w:ascii="Sabon Next LT" w:hAnsi="Sabon Next LT" w:cs="Sabon Next LT"/>
          <w:b/>
          <w:bCs/>
        </w:rPr>
        <w:t xml:space="preserve">NEOTVÍRAT, k rukám </w:t>
      </w:r>
      <w:r w:rsidR="005441D0">
        <w:rPr>
          <w:rFonts w:ascii="Sabon Next LT" w:hAnsi="Sabon Next LT" w:cs="Sabon Next LT"/>
          <w:b/>
          <w:bCs/>
        </w:rPr>
        <w:t>Alana Holiše</w:t>
      </w:r>
    </w:p>
    <w:p w14:paraId="5E09EB4F" w14:textId="026685E1" w:rsidR="00FE2CF1" w:rsidRPr="005600E8" w:rsidRDefault="00FE2CF1" w:rsidP="009F24E0">
      <w:pPr>
        <w:pStyle w:val="Odstavecseseznamem"/>
        <w:numPr>
          <w:ilvl w:val="1"/>
          <w:numId w:val="11"/>
        </w:numPr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bookmarkStart w:id="1" w:name="_GoBack"/>
      <w:bookmarkEnd w:id="1"/>
      <w:r w:rsidRPr="005600E8">
        <w:rPr>
          <w:rFonts w:ascii="Sabon Next LT" w:hAnsi="Sabon Next LT" w:cs="Sabon Next LT"/>
        </w:rPr>
        <w:t xml:space="preserve">Ústně v kanceláři </w:t>
      </w:r>
      <w:r w:rsidR="005441D0">
        <w:rPr>
          <w:rFonts w:ascii="Sabon Next LT" w:hAnsi="Sabon Next LT" w:cs="Sabon Next LT"/>
        </w:rPr>
        <w:t>Alana Holiše</w:t>
      </w:r>
      <w:r w:rsidRPr="005600E8">
        <w:rPr>
          <w:rFonts w:ascii="Sabon Next LT" w:hAnsi="Sabon Next LT" w:cs="Sabon Next LT"/>
        </w:rPr>
        <w:t xml:space="preserve"> nacházející se v</w:t>
      </w:r>
      <w:r w:rsidR="00863278" w:rsidRPr="005600E8">
        <w:rPr>
          <w:rFonts w:ascii="Sabon Next LT" w:hAnsi="Sabon Next LT" w:cs="Sabon Next LT"/>
        </w:rPr>
        <w:t> 2NP</w:t>
      </w:r>
      <w:r w:rsidR="005600E8" w:rsidRPr="005600E8">
        <w:rPr>
          <w:rFonts w:ascii="Sabon Next LT" w:hAnsi="Sabon Next LT" w:cs="Sabon Next LT"/>
        </w:rPr>
        <w:t xml:space="preserve">, </w:t>
      </w:r>
      <w:r w:rsidRPr="005600E8">
        <w:rPr>
          <w:rFonts w:ascii="Sabon Next LT" w:hAnsi="Sabon Next LT" w:cs="Sabon Next LT"/>
        </w:rPr>
        <w:t xml:space="preserve">v sídle společnosti, případně jiném místě dohodnutém s příslušnou osobou; podání ústního oznámení bude oznamovateli umožněno v přiměřené lhůtě, nejdéle však do 14-ti dnů ode dne, kdy o to oznamovatel požádal. </w:t>
      </w:r>
    </w:p>
    <w:p w14:paraId="3400E9C8" w14:textId="77777777" w:rsidR="00B2122A" w:rsidRPr="009F24E0" w:rsidRDefault="00B2122A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61CAFB57" w14:textId="77777777" w:rsidR="00FE2CF1" w:rsidRPr="009F24E0" w:rsidRDefault="00FE2CF1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>Současně tímto žádáme, v případě podání oznámení prostřednictvím telefonu nebo ústně, aby tento způsob podání byl využíván v běžné pracovní době společnosti.</w:t>
      </w:r>
    </w:p>
    <w:p w14:paraId="33C8B261" w14:textId="77777777" w:rsidR="00FE2CF1" w:rsidRPr="009F24E0" w:rsidRDefault="00FE2CF1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5594FEAF" w14:textId="77777777" w:rsidR="00FE2CF1" w:rsidRPr="009F24E0" w:rsidRDefault="00FE2CF1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>Oznámení musí obsahovat následující údaje:</w:t>
      </w:r>
    </w:p>
    <w:p w14:paraId="4D0AF20F" w14:textId="77777777" w:rsidR="00FE2CF1" w:rsidRPr="009F24E0" w:rsidRDefault="00FE2CF1" w:rsidP="009F24E0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 xml:space="preserve">Vaše jméno, příjmení a datum narození, nebo jiné údaje, ze kterých je možné dovodit Vaši totožnost. </w:t>
      </w:r>
    </w:p>
    <w:p w14:paraId="070CF225" w14:textId="77777777" w:rsidR="00FE2CF1" w:rsidRPr="009F24E0" w:rsidRDefault="00FE2CF1" w:rsidP="009F24E0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426" w:hanging="42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>Za účelem informování o přijetí a způsobu vyřízení Vašeho oznámení uveďte rovněž Vaše kontaktní údaje.</w:t>
      </w:r>
    </w:p>
    <w:p w14:paraId="4D28E1E9" w14:textId="77777777" w:rsidR="00FE2CF1" w:rsidRPr="009F24E0" w:rsidRDefault="00FE2CF1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4F40C711" w14:textId="122A6D13" w:rsidR="00B2122A" w:rsidRPr="009F24E0" w:rsidRDefault="00FE2CF1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lastRenderedPageBreak/>
        <w:t>O Vaši totožnosti bude informována pouze osoba mající povinnost mlčenlivosti</w:t>
      </w:r>
      <w:r w:rsidR="00CD50FC" w:rsidRPr="009F24E0">
        <w:rPr>
          <w:rFonts w:ascii="Sabon Next LT" w:hAnsi="Sabon Next LT" w:cs="Sabon Next LT"/>
          <w:sz w:val="22"/>
          <w:szCs w:val="22"/>
        </w:rPr>
        <w:t xml:space="preserve">. S veškerými oznámeními a totožností oznamovatele bude seznámena pouze příslušná osoba. </w:t>
      </w:r>
      <w:r w:rsidRPr="009F24E0">
        <w:rPr>
          <w:rFonts w:ascii="Sabon Next LT" w:hAnsi="Sabon Next LT" w:cs="Sabon Next LT"/>
          <w:sz w:val="22"/>
          <w:szCs w:val="22"/>
        </w:rPr>
        <w:t xml:space="preserve"> </w:t>
      </w:r>
    </w:p>
    <w:p w14:paraId="37E035A1" w14:textId="77777777" w:rsidR="00CD50FC" w:rsidRPr="009F24E0" w:rsidRDefault="00CD50FC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57B67744" w14:textId="527CEEEC" w:rsidR="009B6382" w:rsidRPr="009F24E0" w:rsidRDefault="00CD50FC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 xml:space="preserve">Nebude-li oznámení obsahovat údaje o Vaší identifikaci, nemůže být náležitě prošetřeno a nebude tak ani možné přijmout nápravná opatření. </w:t>
      </w:r>
    </w:p>
    <w:p w14:paraId="10BD6581" w14:textId="77777777" w:rsidR="009F24E0" w:rsidRDefault="009F24E0" w:rsidP="006C61A2">
      <w:pPr>
        <w:pStyle w:val="Normlnweb"/>
        <w:shd w:val="clear" w:color="auto" w:fill="FFFFFF"/>
        <w:spacing w:before="0" w:beforeAutospacing="0" w:after="0" w:afterAutospacing="0" w:line="264" w:lineRule="auto"/>
        <w:ind w:left="720"/>
        <w:jc w:val="both"/>
        <w:rPr>
          <w:rFonts w:ascii="Sabon Next LT" w:hAnsi="Sabon Next LT" w:cs="Sabon Next LT"/>
          <w:b/>
          <w:bCs/>
          <w:sz w:val="22"/>
          <w:szCs w:val="22"/>
        </w:rPr>
      </w:pPr>
    </w:p>
    <w:p w14:paraId="623DEB4C" w14:textId="0114A9A9" w:rsidR="00CD50FC" w:rsidRPr="009F24E0" w:rsidRDefault="00CD50FC" w:rsidP="009F24E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ind w:hanging="720"/>
        <w:jc w:val="both"/>
        <w:rPr>
          <w:rFonts w:ascii="Sabon Next LT" w:hAnsi="Sabon Next LT" w:cs="Sabon Next LT"/>
          <w:b/>
          <w:bCs/>
          <w:sz w:val="22"/>
          <w:szCs w:val="22"/>
        </w:rPr>
      </w:pPr>
      <w:r w:rsidRPr="009F24E0">
        <w:rPr>
          <w:rFonts w:ascii="Sabon Next LT" w:hAnsi="Sabon Next LT" w:cs="Sabon Next LT"/>
          <w:b/>
          <w:bCs/>
          <w:sz w:val="22"/>
          <w:szCs w:val="22"/>
        </w:rPr>
        <w:t>Ochrana oznamovatele</w:t>
      </w:r>
    </w:p>
    <w:p w14:paraId="1316E88B" w14:textId="50939C1B" w:rsidR="00931B3A" w:rsidRPr="009F24E0" w:rsidRDefault="00CD50FC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 xml:space="preserve">Společnost přijala veškerá nezbytná opatření, aby v případě podání oznámení prostřednictvím vnitřního oznamovacího systému, byla zajištěna ochrana totožnosti oznamovatele a oznamovatel byl chráněn před případnými odvetnými opatřeními včetně dalších osob, kterým tato ochrana náleží dle obecně závazných právních předpisů. </w:t>
      </w:r>
      <w:r w:rsidR="00931B3A" w:rsidRPr="009F24E0">
        <w:rPr>
          <w:rFonts w:ascii="Sabon Next LT" w:hAnsi="Sabon Next LT" w:cs="Sabon Next LT"/>
          <w:sz w:val="22"/>
          <w:szCs w:val="22"/>
        </w:rPr>
        <w:t> </w:t>
      </w:r>
    </w:p>
    <w:p w14:paraId="7342D6A3" w14:textId="77777777" w:rsidR="00CD50FC" w:rsidRPr="009F24E0" w:rsidRDefault="00CD50FC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07EE131A" w14:textId="7210725D" w:rsidR="00CD50FC" w:rsidRPr="009F24E0" w:rsidRDefault="00CD50FC" w:rsidP="009F24E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ind w:left="709" w:hanging="709"/>
        <w:jc w:val="both"/>
        <w:rPr>
          <w:rFonts w:ascii="Sabon Next LT" w:hAnsi="Sabon Next LT" w:cs="Sabon Next LT"/>
          <w:b/>
          <w:bCs/>
          <w:sz w:val="22"/>
          <w:szCs w:val="22"/>
        </w:rPr>
      </w:pPr>
      <w:r w:rsidRPr="009F24E0">
        <w:rPr>
          <w:rFonts w:ascii="Sabon Next LT" w:hAnsi="Sabon Next LT" w:cs="Sabon Next LT"/>
          <w:b/>
          <w:bCs/>
          <w:sz w:val="22"/>
          <w:szCs w:val="22"/>
        </w:rPr>
        <w:t>Postup společnosti</w:t>
      </w:r>
    </w:p>
    <w:p w14:paraId="34E7EC51" w14:textId="3478298A" w:rsidR="00CD50FC" w:rsidRPr="009F24E0" w:rsidRDefault="00CD50FC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 xml:space="preserve">Společnost posuzuje důvodnost a pravdivost každého oznámení. Je-li oznámení důvodné a pravdivé, přijme společnost nápravná opatření. </w:t>
      </w:r>
    </w:p>
    <w:p w14:paraId="709717A9" w14:textId="77777777" w:rsidR="00CD50FC" w:rsidRPr="009F24E0" w:rsidRDefault="00CD50FC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41CA9A37" w14:textId="514843AA" w:rsidR="00CD50FC" w:rsidRPr="009F24E0" w:rsidRDefault="00CD50FC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 xml:space="preserve">V případě, že by byly oznamovatel v oznámení uvedeny vědomě nepravdivé informace a/nebo oznamovatel učiní oznámení v zájmu poškodit společnost, může se společnost bránit, a to způsoby, které jí umožňuje zákon a obecně závazné právní předpisy. </w:t>
      </w:r>
    </w:p>
    <w:p w14:paraId="58473777" w14:textId="77777777" w:rsidR="00CD50FC" w:rsidRPr="009F24E0" w:rsidRDefault="00CD50FC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24669E7C" w14:textId="783304AC" w:rsidR="00931B3A" w:rsidRPr="009F24E0" w:rsidRDefault="00931B3A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>Učinění oznámení není porušením bankovního tajemství, smluvní mlčenlivosti a povinností zachovávat mlčenlivost podle daňového řádu nebo jiných druhů mlčenlivosti s výjimkou povinností:</w:t>
      </w:r>
    </w:p>
    <w:p w14:paraId="278FC737" w14:textId="77777777" w:rsidR="00ED2AEA" w:rsidRPr="009F24E0" w:rsidRDefault="00ED2AEA" w:rsidP="009F24E0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0FDAC4C8" w14:textId="77777777" w:rsidR="00931B3A" w:rsidRPr="009F24E0" w:rsidRDefault="00931B3A" w:rsidP="009F24E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64" w:lineRule="auto"/>
        <w:ind w:left="426" w:hanging="426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zajistit ochranu utajovaných informací a informací, jejichž vyzrazení by zjevně mohlo ohrozit probíhající trestní řízení, nebo ochranu zvláštních skutečností podle zákona upravujícího krizové řízení,</w:t>
      </w:r>
    </w:p>
    <w:p w14:paraId="56BBD5F1" w14:textId="77777777" w:rsidR="00931B3A" w:rsidRPr="009F24E0" w:rsidRDefault="00931B3A" w:rsidP="009F24E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64" w:lineRule="auto"/>
        <w:ind w:hanging="720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zachovávat mlčenlivost při výkonu činnosti:</w:t>
      </w:r>
    </w:p>
    <w:p w14:paraId="7F0B5B9C" w14:textId="09F0CD13" w:rsidR="00931B3A" w:rsidRPr="009F24E0" w:rsidRDefault="00ED2AEA" w:rsidP="009F24E0">
      <w:pPr>
        <w:pStyle w:val="Normlnweb"/>
        <w:shd w:val="clear" w:color="auto" w:fill="FFFFFF"/>
        <w:tabs>
          <w:tab w:val="num" w:pos="993"/>
        </w:tabs>
        <w:spacing w:before="0" w:beforeAutospacing="0" w:after="0" w:afterAutospacing="0" w:line="264" w:lineRule="auto"/>
        <w:ind w:left="426" w:hanging="114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 xml:space="preserve">a) </w:t>
      </w: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>notáře, notářského kandidáta a notářského koncipienta,</w:t>
      </w:r>
    </w:p>
    <w:p w14:paraId="71C66070" w14:textId="75F81B2E" w:rsidR="00931B3A" w:rsidRPr="009F24E0" w:rsidRDefault="00ED2AEA" w:rsidP="009F24E0">
      <w:pPr>
        <w:pStyle w:val="Normlnweb"/>
        <w:shd w:val="clear" w:color="auto" w:fill="FFFFFF"/>
        <w:tabs>
          <w:tab w:val="num" w:pos="993"/>
        </w:tabs>
        <w:spacing w:before="0" w:beforeAutospacing="0" w:after="0" w:afterAutospacing="0" w:line="264" w:lineRule="auto"/>
        <w:ind w:left="426" w:hanging="114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 xml:space="preserve">b) </w:t>
      </w: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>státního zástupce, asistenta státního zástupce a právního čekatele,</w:t>
      </w:r>
    </w:p>
    <w:p w14:paraId="626E90C3" w14:textId="4A37A647" w:rsidR="00931B3A" w:rsidRPr="009F24E0" w:rsidRDefault="00ED2AEA" w:rsidP="009F24E0">
      <w:pPr>
        <w:pStyle w:val="Normlnweb"/>
        <w:shd w:val="clear" w:color="auto" w:fill="FFFFFF"/>
        <w:tabs>
          <w:tab w:val="num" w:pos="993"/>
        </w:tabs>
        <w:spacing w:before="0" w:beforeAutospacing="0" w:after="0" w:afterAutospacing="0" w:line="264" w:lineRule="auto"/>
        <w:ind w:left="426" w:hanging="114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 xml:space="preserve">c) </w:t>
      </w: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>advokáta a advokátního koncipienta,</w:t>
      </w:r>
    </w:p>
    <w:p w14:paraId="46B46E38" w14:textId="53F2C14A" w:rsidR="00931B3A" w:rsidRPr="009F24E0" w:rsidRDefault="00ED2AEA" w:rsidP="009F24E0">
      <w:pPr>
        <w:pStyle w:val="Normlnweb"/>
        <w:shd w:val="clear" w:color="auto" w:fill="FFFFFF"/>
        <w:tabs>
          <w:tab w:val="num" w:pos="993"/>
        </w:tabs>
        <w:spacing w:before="0" w:beforeAutospacing="0" w:after="0" w:afterAutospacing="0" w:line="264" w:lineRule="auto"/>
        <w:ind w:left="426" w:hanging="114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 xml:space="preserve">d) </w:t>
      </w: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>soudního exekutora, exekutorského kandidáta a exekutorského koncipienta,</w:t>
      </w:r>
    </w:p>
    <w:p w14:paraId="12F52AF8" w14:textId="5C58B2FD" w:rsidR="00931B3A" w:rsidRPr="009F24E0" w:rsidRDefault="00ED2AEA" w:rsidP="009F24E0">
      <w:pPr>
        <w:pStyle w:val="Normlnweb"/>
        <w:shd w:val="clear" w:color="auto" w:fill="FFFFFF"/>
        <w:tabs>
          <w:tab w:val="num" w:pos="993"/>
        </w:tabs>
        <w:spacing w:before="0" w:beforeAutospacing="0" w:after="0" w:afterAutospacing="0" w:line="264" w:lineRule="auto"/>
        <w:ind w:left="426" w:hanging="114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>e)</w:t>
      </w: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>soudce, soudce Ústavního soudu, asistenta soudce a justičního kandidáta,</w:t>
      </w:r>
    </w:p>
    <w:p w14:paraId="7558C05C" w14:textId="77777777" w:rsidR="00ED2AEA" w:rsidRPr="009F24E0" w:rsidRDefault="00ED2AEA" w:rsidP="009F24E0">
      <w:pPr>
        <w:pStyle w:val="Normlnweb"/>
        <w:shd w:val="clear" w:color="auto" w:fill="FFFFFF"/>
        <w:tabs>
          <w:tab w:val="num" w:pos="993"/>
        </w:tabs>
        <w:spacing w:before="0" w:beforeAutospacing="0" w:after="0" w:afterAutospacing="0" w:line="264" w:lineRule="auto"/>
        <w:ind w:left="426" w:hanging="114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 xml:space="preserve">f) </w:t>
      </w: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 xml:space="preserve">zaměstnance notáře, soudního exekutora, advokáta a zaměstnance společnosti, </w:t>
      </w:r>
    </w:p>
    <w:p w14:paraId="627E30A7" w14:textId="6571145F" w:rsidR="00931B3A" w:rsidRPr="009F24E0" w:rsidRDefault="00ED2AEA" w:rsidP="009F24E0">
      <w:pPr>
        <w:pStyle w:val="Normlnweb"/>
        <w:shd w:val="clear" w:color="auto" w:fill="FFFFFF"/>
        <w:tabs>
          <w:tab w:val="num" w:pos="993"/>
        </w:tabs>
        <w:spacing w:before="0" w:beforeAutospacing="0" w:after="0" w:afterAutospacing="0" w:line="264" w:lineRule="auto"/>
        <w:ind w:left="993" w:hanging="1146"/>
        <w:jc w:val="both"/>
        <w:rPr>
          <w:rFonts w:ascii="Sabon Next LT" w:hAnsi="Sabon Next LT" w:cs="Sabon Next LT"/>
          <w:sz w:val="22"/>
          <w:szCs w:val="22"/>
        </w:rPr>
      </w:pPr>
      <w:r w:rsidRPr="009F24E0">
        <w:rPr>
          <w:rFonts w:ascii="Sabon Next LT" w:hAnsi="Sabon Next LT" w:cs="Sabon Next LT"/>
          <w:sz w:val="22"/>
          <w:szCs w:val="22"/>
        </w:rPr>
        <w:tab/>
      </w:r>
      <w:r w:rsidR="00931B3A" w:rsidRPr="009F24E0">
        <w:rPr>
          <w:rFonts w:ascii="Sabon Next LT" w:hAnsi="Sabon Next LT" w:cs="Sabon Next LT"/>
          <w:sz w:val="22"/>
          <w:szCs w:val="22"/>
        </w:rPr>
        <w:t>prostřednictvím které advokát vykonává advokacii jako společník podle zákona upravujícího výkon advokacie, nebo obdobné zahraniční společnosti, nebo další osoby, která se v rámci takové společnosti podílí na poskytování právních služeb,</w:t>
      </w:r>
    </w:p>
    <w:p w14:paraId="1E1D583A" w14:textId="77777777" w:rsidR="00931B3A" w:rsidRPr="009F24E0" w:rsidRDefault="00931B3A" w:rsidP="009F24E0">
      <w:pPr>
        <w:numPr>
          <w:ilvl w:val="0"/>
          <w:numId w:val="7"/>
        </w:numPr>
        <w:shd w:val="clear" w:color="auto" w:fill="FFFFFF"/>
        <w:tabs>
          <w:tab w:val="clear" w:pos="1002"/>
          <w:tab w:val="num" w:pos="993"/>
        </w:tabs>
        <w:spacing w:after="0" w:line="264" w:lineRule="auto"/>
        <w:ind w:left="1418" w:hanging="425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zachovávat mlčenlivost při poskytování právní pomoci v řízení před soudem nebo jiným orgánem veřejné moci, nebo</w:t>
      </w:r>
    </w:p>
    <w:p w14:paraId="66CE6F93" w14:textId="77777777" w:rsidR="00931B3A" w:rsidRPr="009F24E0" w:rsidRDefault="00931B3A" w:rsidP="009F24E0">
      <w:pPr>
        <w:numPr>
          <w:ilvl w:val="0"/>
          <w:numId w:val="7"/>
        </w:numPr>
        <w:shd w:val="clear" w:color="auto" w:fill="FFFFFF"/>
        <w:tabs>
          <w:tab w:val="clear" w:pos="1002"/>
          <w:tab w:val="num" w:pos="993"/>
        </w:tabs>
        <w:spacing w:after="0" w:line="264" w:lineRule="auto"/>
        <w:ind w:left="1418" w:hanging="425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>zachovávat mlčenlivost při poskytování zdravotních služeb.</w:t>
      </w:r>
    </w:p>
    <w:p w14:paraId="2A8E7DC9" w14:textId="77777777" w:rsidR="00ED2AEA" w:rsidRPr="009F24E0" w:rsidRDefault="00ED2AEA" w:rsidP="009F24E0">
      <w:pPr>
        <w:shd w:val="clear" w:color="auto" w:fill="FFFFFF"/>
        <w:spacing w:after="0" w:line="264" w:lineRule="auto"/>
        <w:jc w:val="both"/>
        <w:rPr>
          <w:rFonts w:ascii="Sabon Next LT" w:hAnsi="Sabon Next LT" w:cs="Sabon Next LT"/>
        </w:rPr>
      </w:pPr>
    </w:p>
    <w:p w14:paraId="37BD9DE0" w14:textId="1E2EA3F5" w:rsidR="00ED2AEA" w:rsidRPr="009F24E0" w:rsidRDefault="00ED2AEA" w:rsidP="009F24E0">
      <w:pPr>
        <w:pStyle w:val="Odstavecseseznamem"/>
        <w:numPr>
          <w:ilvl w:val="0"/>
          <w:numId w:val="10"/>
        </w:numPr>
        <w:shd w:val="clear" w:color="auto" w:fill="FFFFFF"/>
        <w:spacing w:after="0" w:line="264" w:lineRule="auto"/>
        <w:ind w:hanging="720"/>
        <w:jc w:val="both"/>
        <w:rPr>
          <w:rFonts w:ascii="Sabon Next LT" w:hAnsi="Sabon Next LT" w:cs="Sabon Next LT"/>
          <w:b/>
          <w:bCs/>
        </w:rPr>
      </w:pPr>
      <w:r w:rsidRPr="009F24E0">
        <w:rPr>
          <w:rFonts w:ascii="Sabon Next LT" w:hAnsi="Sabon Next LT" w:cs="Sabon Next LT"/>
          <w:b/>
          <w:bCs/>
        </w:rPr>
        <w:t>Informace o možnosti podat oznámení Ministerstvu spravedlnosti ČR</w:t>
      </w:r>
    </w:p>
    <w:p w14:paraId="058425DB" w14:textId="30D34E1B" w:rsidR="00931B3A" w:rsidRPr="009F24E0" w:rsidRDefault="00ED2AEA" w:rsidP="009F24E0">
      <w:pPr>
        <w:shd w:val="clear" w:color="auto" w:fill="FFFFFF"/>
        <w:spacing w:after="0" w:line="264" w:lineRule="auto"/>
        <w:jc w:val="both"/>
        <w:rPr>
          <w:rFonts w:ascii="Sabon Next LT" w:hAnsi="Sabon Next LT" w:cs="Sabon Next LT"/>
        </w:rPr>
      </w:pPr>
      <w:r w:rsidRPr="009F24E0">
        <w:rPr>
          <w:rFonts w:ascii="Sabon Next LT" w:hAnsi="Sabon Next LT" w:cs="Sabon Next LT"/>
        </w:rPr>
        <w:t xml:space="preserve">Oznamovatel může oznámení podat rovněž ústně, či písemně Ministerstvu spravedlnosti ČR. Formulář pro podání oznámení a bližší informace pro podání oznámení jsou k dispozici na webových stránkách Ministerstva spravedlnosti: </w:t>
      </w:r>
      <w:hyperlink r:id="rId8" w:history="1">
        <w:r w:rsidRPr="009F24E0">
          <w:rPr>
            <w:rStyle w:val="Hypertextovodkaz"/>
            <w:rFonts w:ascii="Sabon Next LT" w:hAnsi="Sabon Next LT" w:cs="Sabon Next LT"/>
          </w:rPr>
          <w:t>https://oznamovatel.justice.cz/chci-podat-oznameni/</w:t>
        </w:r>
      </w:hyperlink>
    </w:p>
    <w:sectPr w:rsidR="00931B3A" w:rsidRPr="009F24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AEED" w14:textId="77777777" w:rsidR="001777B6" w:rsidRDefault="001777B6" w:rsidP="00ED2AEA">
      <w:pPr>
        <w:spacing w:after="0" w:line="240" w:lineRule="auto"/>
      </w:pPr>
      <w:r>
        <w:separator/>
      </w:r>
    </w:p>
  </w:endnote>
  <w:endnote w:type="continuationSeparator" w:id="0">
    <w:p w14:paraId="72BB1A21" w14:textId="77777777" w:rsidR="001777B6" w:rsidRDefault="001777B6" w:rsidP="00ED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2448006"/>
      <w:docPartObj>
        <w:docPartGallery w:val="Page Numbers (Bottom of Page)"/>
        <w:docPartUnique/>
      </w:docPartObj>
    </w:sdtPr>
    <w:sdtEndPr/>
    <w:sdtContent>
      <w:p w14:paraId="4F282B6C" w14:textId="26E057D5" w:rsidR="00ED2AEA" w:rsidRDefault="00ED2AEA">
        <w:pPr>
          <w:pStyle w:val="Zpat"/>
          <w:jc w:val="right"/>
        </w:pPr>
        <w:r w:rsidRPr="00ED2AEA">
          <w:rPr>
            <w:rFonts w:ascii="Times New Roman" w:hAnsi="Times New Roman" w:cs="Times New Roman"/>
            <w:sz w:val="18"/>
            <w:szCs w:val="18"/>
          </w:rPr>
          <w:t xml:space="preserve">Strana </w:t>
        </w:r>
        <w:r w:rsidRPr="00ED2AE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D2AE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D2AE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ED2AEA">
          <w:rPr>
            <w:rFonts w:ascii="Times New Roman" w:hAnsi="Times New Roman" w:cs="Times New Roman"/>
            <w:sz w:val="18"/>
            <w:szCs w:val="18"/>
          </w:rPr>
          <w:t>2</w:t>
        </w:r>
        <w:r w:rsidRPr="00ED2AEA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ED2AEA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9F24E0">
          <w:rPr>
            <w:rFonts w:ascii="Times New Roman" w:hAnsi="Times New Roman" w:cs="Times New Roman"/>
            <w:sz w:val="18"/>
            <w:szCs w:val="18"/>
          </w:rPr>
          <w:t>4</w:t>
        </w:r>
      </w:p>
    </w:sdtContent>
  </w:sdt>
  <w:p w14:paraId="3678128D" w14:textId="77777777" w:rsidR="00ED2AEA" w:rsidRDefault="00ED2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8E94" w14:textId="77777777" w:rsidR="001777B6" w:rsidRDefault="001777B6" w:rsidP="00ED2AEA">
      <w:pPr>
        <w:spacing w:after="0" w:line="240" w:lineRule="auto"/>
      </w:pPr>
      <w:r>
        <w:separator/>
      </w:r>
    </w:p>
  </w:footnote>
  <w:footnote w:type="continuationSeparator" w:id="0">
    <w:p w14:paraId="4F269053" w14:textId="77777777" w:rsidR="001777B6" w:rsidRDefault="001777B6" w:rsidP="00ED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7E8"/>
    <w:multiLevelType w:val="hybridMultilevel"/>
    <w:tmpl w:val="51FEFD00"/>
    <w:lvl w:ilvl="0" w:tplc="0C8468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292"/>
    <w:multiLevelType w:val="multilevel"/>
    <w:tmpl w:val="9E361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54468CC"/>
    <w:multiLevelType w:val="multilevel"/>
    <w:tmpl w:val="3C9E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E21CC"/>
    <w:multiLevelType w:val="hybridMultilevel"/>
    <w:tmpl w:val="A1BC5246"/>
    <w:lvl w:ilvl="0" w:tplc="040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3F4D34BD"/>
    <w:multiLevelType w:val="multilevel"/>
    <w:tmpl w:val="F5B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05F89"/>
    <w:multiLevelType w:val="multilevel"/>
    <w:tmpl w:val="90A0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538D7"/>
    <w:multiLevelType w:val="multilevel"/>
    <w:tmpl w:val="A5C62D22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7" w15:restartNumberingAfterBreak="0">
    <w:nsid w:val="54EA677D"/>
    <w:multiLevelType w:val="hybridMultilevel"/>
    <w:tmpl w:val="7384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70C3D"/>
    <w:multiLevelType w:val="multilevel"/>
    <w:tmpl w:val="643C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727EB"/>
    <w:multiLevelType w:val="hybridMultilevel"/>
    <w:tmpl w:val="111EEAA0"/>
    <w:lvl w:ilvl="0" w:tplc="758E3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7050E"/>
    <w:multiLevelType w:val="multilevel"/>
    <w:tmpl w:val="16C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561CB"/>
    <w:multiLevelType w:val="hybridMultilevel"/>
    <w:tmpl w:val="501A6408"/>
    <w:lvl w:ilvl="0" w:tplc="6BB44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0E94"/>
    <w:multiLevelType w:val="multilevel"/>
    <w:tmpl w:val="100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3A"/>
    <w:rsid w:val="001777B6"/>
    <w:rsid w:val="001A4C3D"/>
    <w:rsid w:val="003A7BFD"/>
    <w:rsid w:val="00427D18"/>
    <w:rsid w:val="00460569"/>
    <w:rsid w:val="004C7928"/>
    <w:rsid w:val="005441D0"/>
    <w:rsid w:val="005600E8"/>
    <w:rsid w:val="005620B6"/>
    <w:rsid w:val="006111F7"/>
    <w:rsid w:val="006312EF"/>
    <w:rsid w:val="006C61A2"/>
    <w:rsid w:val="00805EB5"/>
    <w:rsid w:val="00852EFE"/>
    <w:rsid w:val="00863278"/>
    <w:rsid w:val="008C77DE"/>
    <w:rsid w:val="00931B3A"/>
    <w:rsid w:val="00976859"/>
    <w:rsid w:val="009A265D"/>
    <w:rsid w:val="009B6382"/>
    <w:rsid w:val="009F24E0"/>
    <w:rsid w:val="00B07C3E"/>
    <w:rsid w:val="00B2122A"/>
    <w:rsid w:val="00B50262"/>
    <w:rsid w:val="00B924C1"/>
    <w:rsid w:val="00C464CA"/>
    <w:rsid w:val="00CD50FC"/>
    <w:rsid w:val="00E03E82"/>
    <w:rsid w:val="00E53168"/>
    <w:rsid w:val="00ED2AEA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2989"/>
  <w15:chartTrackingRefBased/>
  <w15:docId w15:val="{E216C308-792C-4BBA-B08D-981F630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31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1B3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31B3A"/>
    <w:rPr>
      <w:color w:val="0563C1" w:themeColor="hyperlink"/>
      <w:u w:val="single"/>
    </w:rPr>
  </w:style>
  <w:style w:type="paragraph" w:customStyle="1" w:styleId="article-intro">
    <w:name w:val="article-intro"/>
    <w:basedOn w:val="Normln"/>
    <w:rsid w:val="0093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3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31B3A"/>
    <w:rPr>
      <w:b/>
      <w:bCs/>
    </w:rPr>
  </w:style>
  <w:style w:type="character" w:styleId="Zdraznn">
    <w:name w:val="Emphasis"/>
    <w:basedOn w:val="Standardnpsmoodstavce"/>
    <w:uiPriority w:val="20"/>
    <w:qFormat/>
    <w:rsid w:val="00931B3A"/>
    <w:rPr>
      <w:i/>
      <w:iCs/>
    </w:rPr>
  </w:style>
  <w:style w:type="paragraph" w:styleId="Odstavecseseznamem">
    <w:name w:val="List Paragraph"/>
    <w:basedOn w:val="Normln"/>
    <w:uiPriority w:val="34"/>
    <w:qFormat/>
    <w:rsid w:val="00C464C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D2AE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D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AEA"/>
  </w:style>
  <w:style w:type="paragraph" w:styleId="Zpat">
    <w:name w:val="footer"/>
    <w:basedOn w:val="Normln"/>
    <w:link w:val="ZpatChar"/>
    <w:uiPriority w:val="99"/>
    <w:unhideWhenUsed/>
    <w:rsid w:val="00ED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holis\AppData\Local\Microsoft\Windows\INetCache\Content.Outlook\ZHFMXA15\whistleblowing@unit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Chovancová</dc:creator>
  <cp:keywords/>
  <dc:description/>
  <cp:lastModifiedBy>Alan Holiš</cp:lastModifiedBy>
  <cp:revision>3</cp:revision>
  <cp:lastPrinted>2023-07-25T09:37:00Z</cp:lastPrinted>
  <dcterms:created xsi:type="dcterms:W3CDTF">2023-12-15T10:03:00Z</dcterms:created>
  <dcterms:modified xsi:type="dcterms:W3CDTF">2023-12-15T10:11:00Z</dcterms:modified>
</cp:coreProperties>
</file>